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5E" w:rsidRDefault="00B85B3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29B8CDD">
            <wp:extent cx="6715760" cy="8983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1"/>
        <w:rPr>
          <w:sz w:val="28"/>
        </w:rPr>
      </w:pPr>
    </w:p>
    <w:p w:rsidR="00596C5E" w:rsidRDefault="00B85B36">
      <w:pPr>
        <w:spacing w:before="82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San José</w:t>
      </w:r>
    </w:p>
    <w:p w:rsidR="00596C5E" w:rsidRDefault="00B85B36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HGOTLN032</w:t>
      </w: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7"/>
      </w:pPr>
    </w:p>
    <w:p w:rsidR="00596C5E" w:rsidRDefault="00B85B36">
      <w:pPr>
        <w:ind w:right="1415"/>
        <w:jc w:val="right"/>
        <w:rPr>
          <w:sz w:val="24"/>
        </w:rPr>
      </w:pPr>
      <w:r>
        <w:rPr>
          <w:color w:val="231F20"/>
          <w:sz w:val="24"/>
        </w:rPr>
        <w:t>San José: 130730034</w:t>
      </w:r>
    </w:p>
    <w:p w:rsidR="00596C5E" w:rsidRDefault="00596C5E">
      <w:pPr>
        <w:jc w:val="right"/>
        <w:rPr>
          <w:sz w:val="24"/>
        </w:rPr>
        <w:sectPr w:rsidR="00596C5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6"/>
        <w:rPr>
          <w:sz w:val="27"/>
        </w:rPr>
      </w:pPr>
    </w:p>
    <w:p w:rsidR="00596C5E" w:rsidRDefault="00B85B36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96C5E" w:rsidRDefault="00596C5E">
      <w:pPr>
        <w:pStyle w:val="Textoindependiente"/>
        <w:spacing w:before="11"/>
        <w:rPr>
          <w:b/>
          <w:sz w:val="50"/>
        </w:rPr>
      </w:pPr>
    </w:p>
    <w:p w:rsidR="00596C5E" w:rsidRDefault="00B85B36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San José</w:t>
      </w:r>
      <w:r>
        <w:t>, del Municipio de Tlanchinol, con cla</w:t>
      </w:r>
      <w:r>
        <w:t xml:space="preserve">ve INEGI </w:t>
      </w:r>
      <w:r>
        <w:rPr>
          <w:b/>
        </w:rPr>
        <w:t>130730034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HGOTLN032.</w:t>
      </w:r>
    </w:p>
    <w:p w:rsidR="00596C5E" w:rsidRDefault="00596C5E">
      <w:pPr>
        <w:pStyle w:val="Textoindependiente"/>
        <w:rPr>
          <w:b/>
        </w:rPr>
      </w:pPr>
    </w:p>
    <w:p w:rsidR="00596C5E" w:rsidRDefault="00B85B36">
      <w:pPr>
        <w:pStyle w:val="Textoindependiente"/>
        <w:ind w:left="401" w:right="1696"/>
        <w:jc w:val="both"/>
      </w:pPr>
      <w:r>
        <w:rPr>
          <w:b/>
        </w:rPr>
        <w:t xml:space="preserve">San José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</w:t>
      </w:r>
      <w:r>
        <w:t>iene una intensa vida social que es articulada por sus autoridades elegidas y renovadas anualmente en Asamblea General, a lo largo del año desempeñan trabajo comunitario según la convocatoria de las autoridades y de los comités existentes, ambos apoyados p</w:t>
      </w:r>
      <w:r>
        <w:t>or sus Auxiliares. La solución y sanción de faltas y delitos al interior corresponde a la autoridad de la comunidad, ésta resuelve y en su caso sanciona.</w:t>
      </w:r>
    </w:p>
    <w:p w:rsidR="00596C5E" w:rsidRDefault="00596C5E">
      <w:pPr>
        <w:pStyle w:val="Textoindependiente"/>
      </w:pPr>
    </w:p>
    <w:p w:rsidR="00596C5E" w:rsidRDefault="00B85B36">
      <w:pPr>
        <w:pStyle w:val="Textoindependiente"/>
        <w:ind w:left="401" w:right="1696"/>
        <w:jc w:val="both"/>
      </w:pPr>
      <w:r>
        <w:t xml:space="preserve">El 60 por ciento de Hablantes de Lengua Indígena advierte que el náhuatl como lengua de comunicación </w:t>
      </w:r>
      <w:r>
        <w:t>cotidiana está a punto de extinguirse, pues a niños, jóvenes y adultos no les interesa su preservación, hecho que es motivado por el contexto donde la lengua de uso común es el castellano.</w:t>
      </w:r>
    </w:p>
    <w:p w:rsidR="00596C5E" w:rsidRDefault="00596C5E">
      <w:pPr>
        <w:pStyle w:val="Textoindependiente"/>
      </w:pPr>
    </w:p>
    <w:p w:rsidR="00596C5E" w:rsidRDefault="00B85B36">
      <w:pPr>
        <w:pStyle w:val="Textoindependiente"/>
        <w:ind w:left="401"/>
        <w:jc w:val="both"/>
      </w:pPr>
      <w:r>
        <w:t>Los habitantes tienen en las actividades del campo su base de orga</w:t>
      </w:r>
      <w:r>
        <w:t>nización del ciclo de trabajo.</w:t>
      </w:r>
    </w:p>
    <w:p w:rsidR="00596C5E" w:rsidRDefault="00596C5E">
      <w:pPr>
        <w:pStyle w:val="Textoindependiente"/>
      </w:pPr>
    </w:p>
    <w:p w:rsidR="00596C5E" w:rsidRDefault="00B85B36">
      <w:pPr>
        <w:pStyle w:val="Textoindependiente"/>
        <w:ind w:left="401" w:right="1696"/>
        <w:jc w:val="both"/>
      </w:pPr>
      <w:r>
        <w:t>Sobre las prácticas culturales, se observa que las Fiestas Tradicionales están arraigadas en la vida comunitaria a partir de la convocatoria de las autoridades a pesar de haber comités generados desde la política pública a c</w:t>
      </w:r>
      <w:r>
        <w:t xml:space="preserve">argo de los distintos niveles del gobierno mexicano. El cuidado de la salud y la atención de las enfermedades con medicina y médicos tradicionales se ha deteriorado, a pesar de contar con la atención al parto a través de la partera tradicional, pues no se </w:t>
      </w:r>
      <w:r>
        <w:t>hace mención a la existencia de “enfermedades culturales” y otros médicos tradicionales, lo cual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</w:t>
      </w:r>
      <w:r>
        <w:t>.</w:t>
      </w:r>
    </w:p>
    <w:p w:rsidR="00596C5E" w:rsidRDefault="00596C5E">
      <w:pPr>
        <w:pStyle w:val="Textoindependiente"/>
      </w:pPr>
    </w:p>
    <w:p w:rsidR="00596C5E" w:rsidRDefault="00B85B36">
      <w:pPr>
        <w:pStyle w:val="Textoindependiente"/>
        <w:ind w:left="401" w:right="1697"/>
        <w:jc w:val="both"/>
      </w:pPr>
      <w:r>
        <w:t>La ritualidad de la vida comunitaria a través de la música es firme, pero sus espacios rituales son pocos, y la presencia de danza nula. Sin embargo, persiste la transmisión de leyendas y costumbres. La preservación de la vestimenta tradicional y artesanía</w:t>
      </w:r>
      <w:r>
        <w:t>s es una constante en la vida diaria de los habitantes.</w:t>
      </w:r>
    </w:p>
    <w:p w:rsidR="00596C5E" w:rsidRDefault="00596C5E">
      <w:pPr>
        <w:pStyle w:val="Textoindependiente"/>
        <w:spacing w:before="3"/>
        <w:rPr>
          <w:sz w:val="21"/>
        </w:rPr>
      </w:pPr>
    </w:p>
    <w:p w:rsidR="00596C5E" w:rsidRDefault="00B85B36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596C5E" w:rsidRDefault="00596C5E">
      <w:pPr>
        <w:jc w:val="both"/>
        <w:sectPr w:rsidR="00596C5E">
          <w:pgSz w:w="12240" w:h="15840"/>
          <w:pgMar w:top="1060" w:right="0" w:bottom="280" w:left="1300" w:header="720" w:footer="720" w:gutter="0"/>
          <w:cols w:space="720"/>
        </w:sect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96C5E">
        <w:trPr>
          <w:trHeight w:val="759"/>
        </w:trPr>
        <w:tc>
          <w:tcPr>
            <w:tcW w:w="4640" w:type="dxa"/>
          </w:tcPr>
          <w:p w:rsidR="00596C5E" w:rsidRDefault="00B85B36">
            <w:pPr>
              <w:pStyle w:val="TableParagraph"/>
              <w:spacing w:before="0" w:line="193" w:lineRule="exact"/>
              <w:ind w:left="30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José, Tlanchinol</w:t>
            </w:r>
          </w:p>
        </w:tc>
        <w:tc>
          <w:tcPr>
            <w:tcW w:w="1568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96C5E">
        <w:trPr>
          <w:trHeight w:val="741"/>
        </w:trPr>
        <w:tc>
          <w:tcPr>
            <w:tcW w:w="4640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96C5E" w:rsidRDefault="00596C5E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596C5E" w:rsidRDefault="00B85B36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96C5E">
        <w:trPr>
          <w:trHeight w:val="189"/>
        </w:trPr>
        <w:tc>
          <w:tcPr>
            <w:tcW w:w="4640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596C5E" w:rsidRDefault="00B85B3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96C5E" w:rsidRDefault="00B85B3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HGOTLN032</w:t>
            </w:r>
          </w:p>
        </w:tc>
      </w:tr>
      <w:tr w:rsidR="00596C5E">
        <w:trPr>
          <w:trHeight w:val="369"/>
        </w:trPr>
        <w:tc>
          <w:tcPr>
            <w:tcW w:w="4640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96C5E" w:rsidRDefault="00B85B36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96C5E" w:rsidRDefault="00B85B36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130730034</w:t>
            </w:r>
          </w:p>
        </w:tc>
      </w:tr>
      <w:tr w:rsidR="00596C5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96C5E" w:rsidRDefault="00B85B36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96C5E" w:rsidRDefault="00B85B3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96C5E" w:rsidRDefault="00B85B3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96C5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96C5E" w:rsidRDefault="00B85B3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96C5E" w:rsidRDefault="00B85B3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96C5E">
        <w:trPr>
          <w:trHeight w:val="185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59.9%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5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5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6C5E">
        <w:trPr>
          <w:trHeight w:val="185"/>
        </w:trPr>
        <w:tc>
          <w:tcPr>
            <w:tcW w:w="4640" w:type="dxa"/>
            <w:shd w:val="clear" w:color="auto" w:fill="FFFF00"/>
          </w:tcPr>
          <w:p w:rsidR="00596C5E" w:rsidRDefault="00B85B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96C5E" w:rsidRDefault="00B85B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6C5E" w:rsidRDefault="00B85B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6C5E">
        <w:trPr>
          <w:trHeight w:val="185"/>
        </w:trPr>
        <w:tc>
          <w:tcPr>
            <w:tcW w:w="4640" w:type="dxa"/>
            <w:shd w:val="clear" w:color="auto" w:fill="F9BE8F"/>
          </w:tcPr>
          <w:p w:rsidR="00596C5E" w:rsidRDefault="00B85B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96C5E" w:rsidRDefault="00B85B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6C5E" w:rsidRDefault="00B85B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96C5E">
        <w:trPr>
          <w:trHeight w:val="184"/>
        </w:trPr>
        <w:tc>
          <w:tcPr>
            <w:tcW w:w="4640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6C5E" w:rsidRDefault="00B85B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187"/>
        </w:trPr>
        <w:tc>
          <w:tcPr>
            <w:tcW w:w="4640" w:type="dxa"/>
            <w:shd w:val="clear" w:color="auto" w:fill="DCE6F0"/>
          </w:tcPr>
          <w:p w:rsidR="00596C5E" w:rsidRDefault="00B85B3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96C5E" w:rsidRDefault="00B85B3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96C5E" w:rsidRDefault="00B85B3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6C5E">
        <w:trPr>
          <w:trHeight w:val="3141"/>
        </w:trPr>
        <w:tc>
          <w:tcPr>
            <w:tcW w:w="4640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96C5E">
        <w:trPr>
          <w:trHeight w:val="185"/>
        </w:trPr>
        <w:tc>
          <w:tcPr>
            <w:tcW w:w="7544" w:type="dxa"/>
            <w:gridSpan w:val="3"/>
          </w:tcPr>
          <w:p w:rsidR="00596C5E" w:rsidRDefault="00B85B36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96C5E">
        <w:trPr>
          <w:trHeight w:val="164"/>
        </w:trPr>
        <w:tc>
          <w:tcPr>
            <w:tcW w:w="4640" w:type="dxa"/>
          </w:tcPr>
          <w:p w:rsidR="00596C5E" w:rsidRDefault="00B85B3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596C5E" w:rsidRDefault="00596C5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96C5E" w:rsidRDefault="00596C5E">
      <w:pPr>
        <w:rPr>
          <w:sz w:val="10"/>
        </w:rPr>
        <w:sectPr w:rsidR="00596C5E">
          <w:pgSz w:w="11910" w:h="16840"/>
          <w:pgMar w:top="1600" w:right="0" w:bottom="280" w:left="1680" w:header="720" w:footer="720" w:gutter="0"/>
          <w:cols w:space="720"/>
        </w:sectPr>
      </w:pPr>
    </w:p>
    <w:p w:rsidR="00596C5E" w:rsidRDefault="00B85B3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96C5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0" w:line="193" w:lineRule="exact"/>
              <w:ind w:left="8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José,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96C5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HGOTLN032</w:t>
            </w:r>
          </w:p>
        </w:tc>
      </w:tr>
      <w:tr w:rsidR="00596C5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596C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130730034</w:t>
            </w:r>
          </w:p>
        </w:tc>
      </w:tr>
      <w:tr w:rsidR="00596C5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6C5E" w:rsidRDefault="00596C5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6C5E" w:rsidRDefault="00596C5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6C5E" w:rsidRDefault="00B85B3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6C5E" w:rsidRDefault="00596C5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96C5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96C5E" w:rsidRDefault="00B85B36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96C5E" w:rsidRDefault="00B85B36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96C5E" w:rsidRDefault="00B85B36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96C5E" w:rsidRDefault="00B85B3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59.9%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6C5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92D050"/>
          </w:tcPr>
          <w:p w:rsidR="00596C5E" w:rsidRDefault="00B85B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92D050"/>
          </w:tcPr>
          <w:p w:rsidR="00596C5E" w:rsidRDefault="00B85B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B85B3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92D050"/>
          </w:tcPr>
          <w:p w:rsidR="00596C5E" w:rsidRDefault="00B85B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92D050"/>
          </w:tcPr>
          <w:p w:rsidR="00596C5E" w:rsidRDefault="00B85B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6C5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96C5E" w:rsidRDefault="00B85B3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92D050"/>
          </w:tcPr>
          <w:p w:rsidR="00596C5E" w:rsidRDefault="00B85B36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96C5E" w:rsidRDefault="00B85B3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6C5E" w:rsidRDefault="00596C5E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96C5E" w:rsidRDefault="00B85B3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FFFF00"/>
          </w:tcPr>
          <w:p w:rsidR="00596C5E" w:rsidRDefault="00B85B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FFFF00"/>
          </w:tcPr>
          <w:p w:rsidR="00596C5E" w:rsidRDefault="00B85B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96C5E" w:rsidRDefault="00B85B3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F9BE8F"/>
          </w:tcPr>
          <w:p w:rsidR="00596C5E" w:rsidRDefault="00B85B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shd w:val="clear" w:color="auto" w:fill="F9BE8F"/>
          </w:tcPr>
          <w:p w:rsidR="00596C5E" w:rsidRDefault="00B85B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6C5E" w:rsidRDefault="00B85B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B85B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96C5E" w:rsidRDefault="00596C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6C5E" w:rsidRDefault="00596C5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6C5E" w:rsidRDefault="00B85B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6C5E" w:rsidRDefault="00B85B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96C5E" w:rsidRDefault="00B85B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6C5E" w:rsidRDefault="00596C5E">
            <w:pPr>
              <w:rPr>
                <w:sz w:val="2"/>
                <w:szCs w:val="2"/>
              </w:rPr>
            </w:pPr>
          </w:p>
        </w:tc>
      </w:tr>
      <w:tr w:rsidR="00596C5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96C5E" w:rsidRDefault="00B85B3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96C5E" w:rsidRDefault="00596C5E">
      <w:pPr>
        <w:spacing w:line="107" w:lineRule="exact"/>
        <w:rPr>
          <w:sz w:val="11"/>
        </w:rPr>
        <w:sectPr w:rsidR="00596C5E">
          <w:pgSz w:w="11910" w:h="16840"/>
          <w:pgMar w:top="1600" w:right="0" w:bottom="280" w:left="1680" w:header="720" w:footer="720" w:gutter="0"/>
          <w:cols w:space="720"/>
        </w:sect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2"/>
        <w:rPr>
          <w:sz w:val="19"/>
        </w:rPr>
      </w:pPr>
    </w:p>
    <w:p w:rsidR="00596C5E" w:rsidRDefault="00B85B36">
      <w:pPr>
        <w:ind w:left="3582" w:right="5035"/>
        <w:jc w:val="center"/>
        <w:rPr>
          <w:b/>
          <w:sz w:val="17"/>
        </w:rPr>
      </w:pPr>
      <w:r>
        <w:rPr>
          <w:b/>
          <w:w w:val="105"/>
          <w:sz w:val="17"/>
        </w:rPr>
        <w:t>San José, Tlanchinol</w:t>
      </w:r>
    </w:p>
    <w:p w:rsidR="00596C5E" w:rsidRDefault="00596C5E">
      <w:pPr>
        <w:pStyle w:val="Textoindependiente"/>
        <w:spacing w:before="6"/>
        <w:rPr>
          <w:b/>
          <w:sz w:val="23"/>
        </w:rPr>
      </w:pPr>
    </w:p>
    <w:p w:rsidR="00596C5E" w:rsidRDefault="00B85B36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HGOTLN032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130730034</w:t>
      </w:r>
    </w:p>
    <w:p w:rsidR="00596C5E" w:rsidRDefault="00596C5E">
      <w:pPr>
        <w:spacing w:line="264" w:lineRule="auto"/>
        <w:rPr>
          <w:sz w:val="14"/>
        </w:rPr>
        <w:sectPr w:rsidR="00596C5E">
          <w:pgSz w:w="11910" w:h="16840"/>
          <w:pgMar w:top="1600" w:right="0" w:bottom="280" w:left="1680" w:header="720" w:footer="720" w:gutter="0"/>
          <w:cols w:space="720"/>
        </w:sectPr>
      </w:pPr>
    </w:p>
    <w:p w:rsidR="00596C5E" w:rsidRDefault="00B85B36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596C5E" w:rsidRDefault="00B85B36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4.8pt;z-index:-253040640;mso-position-horizontal-relative:page" coordorigin="3206,111" coordsize="5548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4790" coordorigin="3231,217" coordsize="5498,4790" o:spt="100" adj="0,,0" path="m5980,2870l4241,5007,5705,3502r275,-632xm6494,3502r-240,l7718,5007,6494,3502xm5980,2870r281,2047l6254,3502r240,l5980,2870xm8715,2870r-2735,l8575,3793r153,-735l8715,2870xm4548,516l3966,990r179,929l4631,2590,3231,3058r1451,273l5980,2870r2735,l8677,2309,8458,1693r-1763,l6704,1218r-724,l4548,516xm7993,990l6695,1693r1763,l8426,1602,7993,990xm6723,217l5980,1218r724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4790" coordorigin="3231,217" coordsize="5498,4790" path="m5980,1218l6723,217r-28,1476l7993,990r433,612l8677,2309r51,749l8575,3793,5980,2870,7718,5007,6254,3502r7,1415l5980,2870r-275,632l4241,5007,5980,2870,4682,3331,3231,3058,4631,2590,4145,1919,3966,990,4548,516r1432,70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596C5E" w:rsidRDefault="00B85B36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596C5E" w:rsidRDefault="00596C5E">
      <w:pPr>
        <w:rPr>
          <w:sz w:val="8"/>
        </w:rPr>
        <w:sectPr w:rsidR="00596C5E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596C5E" w:rsidRDefault="00B85B36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96C5E" w:rsidRDefault="00B85B36">
      <w:pPr>
        <w:spacing w:before="160"/>
        <w:ind w:left="3108" w:right="5035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596C5E" w:rsidRDefault="00B85B36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596C5E" w:rsidRDefault="00B85B36">
      <w:pPr>
        <w:spacing w:before="218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596C5E" w:rsidRDefault="00B85B36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96C5E" w:rsidRDefault="00B85B36">
      <w:pPr>
        <w:spacing w:before="132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596C5E" w:rsidRDefault="00596C5E">
      <w:pPr>
        <w:jc w:val="center"/>
        <w:rPr>
          <w:sz w:val="7"/>
        </w:rPr>
        <w:sectPr w:rsidR="00596C5E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96C5E" w:rsidRDefault="00596C5E">
      <w:pPr>
        <w:pStyle w:val="Textoindependiente"/>
        <w:rPr>
          <w:b/>
          <w:sz w:val="10"/>
        </w:rPr>
      </w:pPr>
    </w:p>
    <w:p w:rsidR="00596C5E" w:rsidRDefault="00596C5E">
      <w:pPr>
        <w:pStyle w:val="Textoindependiente"/>
        <w:rPr>
          <w:b/>
          <w:sz w:val="10"/>
        </w:rPr>
      </w:pPr>
    </w:p>
    <w:p w:rsidR="00596C5E" w:rsidRDefault="00596C5E">
      <w:pPr>
        <w:pStyle w:val="Textoindependiente"/>
        <w:rPr>
          <w:b/>
          <w:sz w:val="10"/>
        </w:rPr>
      </w:pPr>
    </w:p>
    <w:p w:rsidR="00596C5E" w:rsidRDefault="00B85B36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8"/>
        <w:rPr>
          <w:sz w:val="9"/>
        </w:rPr>
      </w:pPr>
    </w:p>
    <w:p w:rsidR="00596C5E" w:rsidRDefault="00B85B36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5"/>
        <w:rPr>
          <w:sz w:val="8"/>
        </w:rPr>
      </w:pPr>
    </w:p>
    <w:p w:rsidR="00596C5E" w:rsidRDefault="00B85B36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3"/>
        <w:rPr>
          <w:sz w:val="12"/>
        </w:rPr>
      </w:pPr>
    </w:p>
    <w:p w:rsidR="00596C5E" w:rsidRDefault="00B85B36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7"/>
        <w:rPr>
          <w:sz w:val="11"/>
        </w:rPr>
      </w:pPr>
    </w:p>
    <w:p w:rsidR="00596C5E" w:rsidRDefault="00B85B36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10"/>
        <w:rPr>
          <w:sz w:val="12"/>
        </w:rPr>
      </w:pPr>
    </w:p>
    <w:p w:rsidR="00596C5E" w:rsidRDefault="00B85B36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596C5E" w:rsidRDefault="00B85B36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596C5E" w:rsidRDefault="00B85B36">
      <w:pPr>
        <w:pStyle w:val="Textoindependiente"/>
        <w:rPr>
          <w:sz w:val="8"/>
        </w:rPr>
      </w:pPr>
      <w:r>
        <w:br w:type="column"/>
      </w:r>
    </w:p>
    <w:p w:rsidR="00596C5E" w:rsidRDefault="00596C5E">
      <w:pPr>
        <w:pStyle w:val="Textoindependiente"/>
        <w:rPr>
          <w:sz w:val="8"/>
        </w:rPr>
      </w:pPr>
    </w:p>
    <w:p w:rsidR="00596C5E" w:rsidRDefault="00596C5E">
      <w:pPr>
        <w:pStyle w:val="Textoindependiente"/>
        <w:rPr>
          <w:sz w:val="8"/>
        </w:rPr>
      </w:pPr>
    </w:p>
    <w:p w:rsidR="00596C5E" w:rsidRDefault="00596C5E">
      <w:pPr>
        <w:pStyle w:val="Textoindependiente"/>
        <w:rPr>
          <w:sz w:val="8"/>
        </w:rPr>
      </w:pPr>
    </w:p>
    <w:p w:rsidR="00596C5E" w:rsidRDefault="00596C5E">
      <w:pPr>
        <w:pStyle w:val="Textoindependiente"/>
        <w:spacing w:before="11"/>
        <w:rPr>
          <w:sz w:val="8"/>
        </w:rPr>
      </w:pPr>
    </w:p>
    <w:p w:rsidR="00596C5E" w:rsidRDefault="00B85B36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596C5E" w:rsidRDefault="00596C5E">
      <w:pPr>
        <w:pStyle w:val="Textoindependiente"/>
        <w:rPr>
          <w:b/>
          <w:sz w:val="8"/>
        </w:rPr>
      </w:pPr>
    </w:p>
    <w:p w:rsidR="00596C5E" w:rsidRDefault="00596C5E">
      <w:pPr>
        <w:pStyle w:val="Textoindependiente"/>
        <w:rPr>
          <w:b/>
          <w:sz w:val="8"/>
        </w:rPr>
      </w:pPr>
    </w:p>
    <w:p w:rsidR="00596C5E" w:rsidRDefault="00596C5E">
      <w:pPr>
        <w:pStyle w:val="Textoindependiente"/>
        <w:rPr>
          <w:b/>
          <w:sz w:val="8"/>
        </w:rPr>
      </w:pPr>
    </w:p>
    <w:p w:rsidR="00596C5E" w:rsidRDefault="00596C5E">
      <w:pPr>
        <w:pStyle w:val="Textoindependiente"/>
        <w:rPr>
          <w:b/>
          <w:sz w:val="8"/>
        </w:rPr>
      </w:pPr>
    </w:p>
    <w:p w:rsidR="00596C5E" w:rsidRDefault="00596C5E">
      <w:pPr>
        <w:pStyle w:val="Textoindependiente"/>
        <w:spacing w:before="10"/>
        <w:rPr>
          <w:b/>
          <w:sz w:val="8"/>
        </w:rPr>
      </w:pPr>
    </w:p>
    <w:p w:rsidR="00596C5E" w:rsidRDefault="00B85B36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596C5E" w:rsidRDefault="00B85B36">
      <w:pPr>
        <w:pStyle w:val="Textoindependiente"/>
        <w:rPr>
          <w:b/>
          <w:sz w:val="10"/>
        </w:rPr>
      </w:pPr>
      <w:r>
        <w:br w:type="column"/>
      </w:r>
    </w:p>
    <w:p w:rsidR="00596C5E" w:rsidRDefault="00596C5E">
      <w:pPr>
        <w:pStyle w:val="Textoindependiente"/>
        <w:rPr>
          <w:b/>
          <w:sz w:val="10"/>
        </w:rPr>
      </w:pPr>
    </w:p>
    <w:p w:rsidR="00596C5E" w:rsidRDefault="00596C5E">
      <w:pPr>
        <w:pStyle w:val="Textoindependiente"/>
        <w:rPr>
          <w:b/>
          <w:sz w:val="10"/>
        </w:rPr>
      </w:pPr>
    </w:p>
    <w:p w:rsidR="00596C5E" w:rsidRDefault="00B85B36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B85B36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4"/>
        <w:rPr>
          <w:sz w:val="13"/>
        </w:rPr>
      </w:pPr>
    </w:p>
    <w:p w:rsidR="00596C5E" w:rsidRDefault="00B85B36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2"/>
        <w:rPr>
          <w:sz w:val="12"/>
        </w:rPr>
      </w:pPr>
    </w:p>
    <w:p w:rsidR="00596C5E" w:rsidRDefault="00B85B36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6"/>
        <w:rPr>
          <w:sz w:val="11"/>
        </w:rPr>
      </w:pPr>
    </w:p>
    <w:p w:rsidR="00596C5E" w:rsidRDefault="00B85B36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596C5E" w:rsidRDefault="00596C5E">
      <w:pPr>
        <w:pStyle w:val="Textoindependiente"/>
        <w:rPr>
          <w:sz w:val="10"/>
        </w:rPr>
      </w:pPr>
    </w:p>
    <w:p w:rsidR="00596C5E" w:rsidRDefault="00596C5E">
      <w:pPr>
        <w:pStyle w:val="Textoindependiente"/>
        <w:spacing w:before="4"/>
        <w:rPr>
          <w:sz w:val="11"/>
        </w:rPr>
      </w:pPr>
    </w:p>
    <w:p w:rsidR="00596C5E" w:rsidRDefault="00B85B36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596C5E" w:rsidRDefault="00B85B36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596C5E" w:rsidRDefault="00596C5E">
      <w:pPr>
        <w:rPr>
          <w:sz w:val="8"/>
        </w:rPr>
        <w:sectPr w:rsidR="00596C5E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8"/>
        <w:rPr>
          <w:sz w:val="15"/>
        </w:rPr>
      </w:pPr>
    </w:p>
    <w:p w:rsidR="00596C5E" w:rsidRDefault="00596C5E">
      <w:pPr>
        <w:pStyle w:val="Textoindependiente"/>
        <w:spacing w:before="5"/>
        <w:rPr>
          <w:sz w:val="8"/>
        </w:rPr>
      </w:pPr>
    </w:p>
    <w:p w:rsidR="00596C5E" w:rsidRDefault="00B85B36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rPr>
          <w:sz w:val="20"/>
        </w:rPr>
      </w:pPr>
    </w:p>
    <w:p w:rsidR="00596C5E" w:rsidRDefault="00596C5E">
      <w:pPr>
        <w:pStyle w:val="Textoindependiente"/>
        <w:spacing w:before="2"/>
      </w:pPr>
    </w:p>
    <w:p w:rsidR="00596C5E" w:rsidRDefault="00B85B36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596C5E" w:rsidRDefault="00B85B36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596C5E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5E"/>
    <w:rsid w:val="00596C5E"/>
    <w:rsid w:val="00B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C410A7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2019-05-29T15:44:00Z</dcterms:created>
  <dcterms:modified xsi:type="dcterms:W3CDTF">2019-05-29T22:07:00Z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